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V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PROTOCOL ADDITIONAL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TO THE GENEVA CONVENTIONS OF 12 AUGUST 1949,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AND RELATING TO THE PROTECTION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OF VICTIMS OF INTERNATIONAL ARMED CONFLICTS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(PROTOCOL I), OF 8 JUNE 1977</w:t>
      </w:r>
    </w:p>
    <w:p w:rsidR="00160399" w:rsidRDefault="00160399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PART IV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-Black" w:hAnsi="Minion-Black" w:cs="Minion-Black"/>
          <w:b/>
          <w:bCs/>
          <w:sz w:val="21"/>
          <w:szCs w:val="21"/>
        </w:rPr>
      </w:pPr>
      <w:r w:rsidRPr="00770322">
        <w:rPr>
          <w:rFonts w:ascii="Minion-Black" w:hAnsi="Minion-Black" w:cs="Minion-Black"/>
          <w:b/>
          <w:bCs/>
          <w:sz w:val="21"/>
          <w:szCs w:val="21"/>
        </w:rPr>
        <w:t>Civilian population</w:t>
      </w:r>
    </w:p>
    <w:p w:rsidR="00160399" w:rsidRDefault="00160399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S</w:t>
      </w:r>
      <w:r w:rsidRPr="00770322">
        <w:rPr>
          <w:rFonts w:ascii="MinionMM_367_585_11_" w:hAnsi="MinionMM_367_585_11_" w:cs="MinionMM_367_585_11_"/>
          <w:sz w:val="16"/>
          <w:szCs w:val="16"/>
        </w:rPr>
        <w:t xml:space="preserve">ECTION </w:t>
      </w:r>
      <w:r w:rsidRPr="00770322">
        <w:rPr>
          <w:rFonts w:ascii="MinionMM_367_585_11_" w:hAnsi="MinionMM_367_585_11_" w:cs="MinionMM_367_585_11_"/>
          <w:sz w:val="21"/>
          <w:szCs w:val="21"/>
        </w:rPr>
        <w:t xml:space="preserve">III – </w:t>
      </w: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Treatment of persons in the power of a Party to the conflict</w:t>
      </w:r>
    </w:p>
    <w:p w:rsidR="00160399" w:rsidRDefault="00160399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MinionMM_367_585_11_" w:hAnsi="MinionMM_367_585_11_" w:cs="MinionMM_367_585_11_"/>
          <w:sz w:val="16"/>
          <w:szCs w:val="16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C</w:t>
      </w:r>
      <w:r w:rsidRPr="00770322">
        <w:rPr>
          <w:rFonts w:ascii="MinionMM_367_585_11_" w:hAnsi="MinionMM_367_585_11_" w:cs="MinionMM_367_585_11_"/>
          <w:sz w:val="16"/>
          <w:szCs w:val="16"/>
        </w:rPr>
        <w:t xml:space="preserve">HAPTER </w:t>
      </w:r>
      <w:r w:rsidRPr="00770322">
        <w:rPr>
          <w:rFonts w:ascii="MinionMM_367_585_11_" w:hAnsi="MinionMM_367_585_11_" w:cs="MinionMM_367_585_11_"/>
          <w:sz w:val="21"/>
          <w:szCs w:val="21"/>
        </w:rPr>
        <w:t>I – F</w:t>
      </w:r>
      <w:r w:rsidRPr="00770322">
        <w:rPr>
          <w:rFonts w:ascii="MinionMM_367_585_11_" w:hAnsi="MinionMM_367_585_11_" w:cs="MinionMM_367_585_11_"/>
          <w:sz w:val="16"/>
          <w:szCs w:val="16"/>
        </w:rPr>
        <w:t>IELD OF APPLICATION AND PROTECTION OF PERSONS AND OBJETS</w:t>
      </w:r>
    </w:p>
    <w:p w:rsidR="00160399" w:rsidRDefault="00160399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b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b/>
          <w:i/>
          <w:iCs/>
          <w:sz w:val="21"/>
          <w:szCs w:val="21"/>
        </w:rPr>
        <w:t>Article 74 — Reunion of dispersed families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The High Contracting Parties and the Parties to the conflict shall facilitate in every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possible way the reunion of families dispersed as a result of armed conflicts and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shall encourage in particular the work of the humanitarian organizations engaged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in this task in accordance with the provisions of the Conventions and of this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Protocol and in conformity with their respective security regulations.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b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b/>
          <w:i/>
          <w:iCs/>
          <w:sz w:val="21"/>
          <w:szCs w:val="21"/>
        </w:rPr>
        <w:t>Article 75 — Fundamental guarantees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1. In so far as they are affected by a situation referred to in Article 1 of this Protocol,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persons who are in the power of a Party to the conflict and who do not benefit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from more favourable treatment under the Conventions or under this Protocol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shall be treated humanely in all circumstances and shall enjoy, as a minimum,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protection provided by this Article without any adverse distinction based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upon race, colour, sex, language, religion or belief, political or other opinion,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national or social origin, wealth, birth or other status, or on any other similar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criteria. Each Party shall respect the person, honour, convictions and religious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practices of all such persons.</w:t>
      </w:r>
    </w:p>
    <w:p w:rsid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2. The following acts are and shall remain prohibited at any time and in any place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whatsoever, whether committed by civilian or by military agents: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a) </w:t>
      </w:r>
      <w:r w:rsidRPr="00770322">
        <w:rPr>
          <w:rFonts w:ascii="MinionMM_367_585_11_" w:hAnsi="MinionMM_367_585_11_" w:cs="MinionMM_367_585_11_"/>
          <w:sz w:val="21"/>
          <w:szCs w:val="21"/>
        </w:rPr>
        <w:t>violence to the life, health, or physical or mental well-being of persons, in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particular: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proofErr w:type="spellStart"/>
      <w:r w:rsidRPr="00770322">
        <w:rPr>
          <w:rFonts w:ascii="MinionMM_367_585_11_" w:hAnsi="MinionMM_367_585_11_" w:cs="MinionMM_367_585_11_"/>
          <w:sz w:val="21"/>
          <w:szCs w:val="21"/>
        </w:rPr>
        <w:t>i</w:t>
      </w:r>
      <w:proofErr w:type="spellEnd"/>
      <w:r w:rsidRPr="00770322">
        <w:rPr>
          <w:rFonts w:ascii="MinionMM_367_585_11_" w:hAnsi="MinionMM_367_585_11_" w:cs="MinionMM_367_585_11_"/>
          <w:sz w:val="21"/>
          <w:szCs w:val="21"/>
        </w:rPr>
        <w:t>) murder;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ii) torture of all kinds, whether physical or mental;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iii) corporal punishment; and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iv) mutilation;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lastRenderedPageBreak/>
        <w:t xml:space="preserve">b) </w:t>
      </w:r>
      <w:r w:rsidRPr="00770322">
        <w:rPr>
          <w:rFonts w:ascii="MinionMM_367_585_11_" w:hAnsi="MinionMM_367_585_11_" w:cs="MinionMM_367_585_11_"/>
          <w:sz w:val="21"/>
          <w:szCs w:val="21"/>
        </w:rPr>
        <w:t>outrages upon personal dignity, in particular humiliating and degrading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treatment, enforced prostitution and any form of indecent assault;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c) </w:t>
      </w:r>
      <w:r w:rsidRPr="00770322">
        <w:rPr>
          <w:rFonts w:ascii="MinionMM_367_585_11_" w:hAnsi="MinionMM_367_585_11_" w:cs="MinionMM_367_585_11_"/>
          <w:sz w:val="21"/>
          <w:szCs w:val="21"/>
        </w:rPr>
        <w:t>the taking of hostages;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d) </w:t>
      </w:r>
      <w:r w:rsidRPr="00770322">
        <w:rPr>
          <w:rFonts w:ascii="MinionMM_367_585_11_" w:hAnsi="MinionMM_367_585_11_" w:cs="MinionMM_367_585_11_"/>
          <w:sz w:val="21"/>
          <w:szCs w:val="21"/>
        </w:rPr>
        <w:t>collective punishments; and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e) </w:t>
      </w:r>
      <w:r w:rsidRPr="00770322">
        <w:rPr>
          <w:rFonts w:ascii="MinionMM_367_585_11_" w:hAnsi="MinionMM_367_585_11_" w:cs="MinionMM_367_585_11_"/>
          <w:sz w:val="21"/>
          <w:szCs w:val="21"/>
        </w:rPr>
        <w:t>threats to commit any of the foregoing acts.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3. Any person arrested, detained or interned for actions related to the armed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 xml:space="preserve">conflict shall be informed promptly, in a language he </w:t>
      </w:r>
      <w:proofErr w:type="spellStart"/>
      <w:r w:rsidRPr="00770322">
        <w:rPr>
          <w:rFonts w:ascii="MinionMM_367_585_11_" w:hAnsi="MinionMM_367_585_11_" w:cs="MinionMM_367_585_11_"/>
          <w:sz w:val="21"/>
          <w:szCs w:val="21"/>
        </w:rPr>
        <w:t>understands,of</w:t>
      </w:r>
      <w:proofErr w:type="spellEnd"/>
      <w:r w:rsidRPr="00770322">
        <w:rPr>
          <w:rFonts w:ascii="MinionMM_367_585_11_" w:hAnsi="MinionMM_367_585_11_" w:cs="MinionMM_367_585_11_"/>
          <w:sz w:val="21"/>
          <w:szCs w:val="21"/>
        </w:rPr>
        <w:t xml:space="preserve"> the reasons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why these measures have been taken. Except in cases of arrest or detention for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penal offences, such persons shall be released with the minimum delay possible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and in any event as soon as the circumstances justifying the arrest, detention or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internment have ceased to exist.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4. No sentence may be passed and no penalty may be executed on a person found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guilty of a penal offence related to the armed conflict except pursuant to a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conviction pronounced by an impartial and regularly constituted court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respecting the generally recognized principles of regular judicial procedure,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which include the following: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a) </w:t>
      </w:r>
      <w:r w:rsidRPr="00770322">
        <w:rPr>
          <w:rFonts w:ascii="MinionMM_367_585_11_" w:hAnsi="MinionMM_367_585_11_" w:cs="MinionMM_367_585_11_"/>
          <w:sz w:val="21"/>
          <w:szCs w:val="21"/>
        </w:rPr>
        <w:t>the procedure shall provide for an accused to be informed without delay of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particulars of the offence alleged against him and shall afford the accused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before and during his trial all necessary rights and means of defence;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b) </w:t>
      </w:r>
      <w:r w:rsidRPr="00770322">
        <w:rPr>
          <w:rFonts w:ascii="MinionMM_367_585_11_" w:hAnsi="MinionMM_367_585_11_" w:cs="MinionMM_367_585_11_"/>
          <w:sz w:val="21"/>
          <w:szCs w:val="21"/>
        </w:rPr>
        <w:t>no one shall be convicted of an offence except on the basis of individual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penal responsibility;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c) </w:t>
      </w:r>
      <w:r w:rsidRPr="00770322">
        <w:rPr>
          <w:rFonts w:ascii="MinionMM_367_585_11_" w:hAnsi="MinionMM_367_585_11_" w:cs="MinionMM_367_585_11_"/>
          <w:sz w:val="21"/>
          <w:szCs w:val="21"/>
        </w:rPr>
        <w:t>no one shall be accused or convicted of a criminal offence on account of any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act or omission which did not constitute a criminal offence under the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national or international law to which he was subject at the time when it was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committed; nor shall a heavier penalty be imposed than that which was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applicable at the time when the criminal offence was committed; if, after the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commission of the offence, provision is made by law for the imposition of a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lighter penalty, the offender shall benefit thereby;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d) </w:t>
      </w:r>
      <w:r w:rsidRPr="00770322">
        <w:rPr>
          <w:rFonts w:ascii="MinionMM_367_585_11_" w:hAnsi="MinionMM_367_585_11_" w:cs="MinionMM_367_585_11_"/>
          <w:sz w:val="21"/>
          <w:szCs w:val="21"/>
        </w:rPr>
        <w:t>anyone charged with an offence is presumed innocent until proved guilty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according to law;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e) </w:t>
      </w:r>
      <w:r w:rsidRPr="00770322">
        <w:rPr>
          <w:rFonts w:ascii="MinionMM_367_585_11_" w:hAnsi="MinionMM_367_585_11_" w:cs="MinionMM_367_585_11_"/>
          <w:sz w:val="21"/>
          <w:szCs w:val="21"/>
        </w:rPr>
        <w:t>anyone charged with an offence shall have the right to be tried in his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presence;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f) </w:t>
      </w:r>
      <w:r w:rsidRPr="00770322">
        <w:rPr>
          <w:rFonts w:ascii="MinionMM_367_585_11_" w:hAnsi="MinionMM_367_585_11_" w:cs="MinionMM_367_585_11_"/>
          <w:sz w:val="21"/>
          <w:szCs w:val="21"/>
        </w:rPr>
        <w:t>no one shall be compelled to testify against himself or to confess guilt;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g) </w:t>
      </w:r>
      <w:r w:rsidRPr="00770322">
        <w:rPr>
          <w:rFonts w:ascii="MinionMM_367_585_11_" w:hAnsi="MinionMM_367_585_11_" w:cs="MinionMM_367_585_11_"/>
          <w:sz w:val="21"/>
          <w:szCs w:val="21"/>
        </w:rPr>
        <w:t>anyone charged with an offence shall have the right to examine, or have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examined, the witnesses against him and to obtain the attendance and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examination of witnesses on his behalf under the same conditions as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witnesses against him;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lastRenderedPageBreak/>
        <w:t xml:space="preserve">h) </w:t>
      </w:r>
      <w:r w:rsidRPr="00770322">
        <w:rPr>
          <w:rFonts w:ascii="MinionMM_367_585_11_" w:hAnsi="MinionMM_367_585_11_" w:cs="MinionMM_367_585_11_"/>
          <w:sz w:val="21"/>
          <w:szCs w:val="21"/>
        </w:rPr>
        <w:t>no one shall be prosecuted or punished by the same Party for an offence in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respect of which a final judgement acquitting or convicting that person has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been previously pronounced under the same law and judicial procedure;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proofErr w:type="spellStart"/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i</w:t>
      </w:r>
      <w:proofErr w:type="spellEnd"/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) </w:t>
      </w:r>
      <w:r w:rsidRPr="00770322">
        <w:rPr>
          <w:rFonts w:ascii="MinionMM_367_585_11_" w:hAnsi="MinionMM_367_585_11_" w:cs="MinionMM_367_585_11_"/>
          <w:sz w:val="21"/>
          <w:szCs w:val="21"/>
        </w:rPr>
        <w:t>anyone prosecuted for an offence shall have the right to have the judgement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pronounced publicly; and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j) </w:t>
      </w:r>
      <w:r w:rsidRPr="00770322">
        <w:rPr>
          <w:rFonts w:ascii="MinionMM_367_585_11_" w:hAnsi="MinionMM_367_585_11_" w:cs="MinionMM_367_585_11_"/>
          <w:sz w:val="21"/>
          <w:szCs w:val="21"/>
        </w:rPr>
        <w:t>a convicted person shall be advised on conviction of his judicial and other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remedies and of the time-limits within which they may be exercised.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5. Women whose liberty has been restricted for reasons related to the armed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conflict shall be held in quarters separated from men’s quarters. They shall be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under the immediate supervision of women. Nevertheless, in cases where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families are detained or interned, they shall, whenever possible, be held in the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same place and accommodated as family units.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6. Persons who are arrested, detained or interned for reasons related to the armed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conflict shall enjoy the protection provided by this Article until final release,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repatriation or re-establishment, even after the end of the armed conflict.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7. In order to avoid any doubt concerning the prosecution and trial of persons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accused of war crimes or crimes against humanity, the following principles shall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apply: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a) </w:t>
      </w:r>
      <w:r w:rsidRPr="00770322">
        <w:rPr>
          <w:rFonts w:ascii="MinionMM_367_585_11_" w:hAnsi="MinionMM_367_585_11_" w:cs="MinionMM_367_585_11_"/>
          <w:sz w:val="21"/>
          <w:szCs w:val="21"/>
        </w:rPr>
        <w:t>persons who are accused of such crimes should be submitted for the purpose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of prosecution and trial in accordance with the applicable rules of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international law; and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b) </w:t>
      </w:r>
      <w:r w:rsidRPr="00770322">
        <w:rPr>
          <w:rFonts w:ascii="MinionMM_367_585_11_" w:hAnsi="MinionMM_367_585_11_" w:cs="MinionMM_367_585_11_"/>
          <w:sz w:val="21"/>
          <w:szCs w:val="21"/>
        </w:rPr>
        <w:t>any such persons who do not benefit from more favourable treatment under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Conventions or this Protocol shall be accorded the treatment provided by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this Article, whether or not the crimes of which they are accused constitute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grave breaches of the Conventions or of this Protocol.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8. No provision of this Article may be construed as limiting or infringing any other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more favourable provision granting greater protection, under any applicable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rules of international law, to persons covered by paragraph 1.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CHAPTER II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MEASURES IN FAVOUR OF WOMEN AND CHILDREN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Article 76 — Protection of women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1. Women shall be the object of special respect and shall be protected in particular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against rape, forced prostitution and any other form of indecent assault.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lastRenderedPageBreak/>
        <w:t>2. Pregnant women and mothers having dependent infants who are arrested,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detained or interned for reasons related to the armed conflict, shall have their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cases considered with the utmost priority.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3. To the maximum extent feasible, the Parties to the conflict shall endeavour to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avoid the pronouncement of the death penalty on pregnant women or mothers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having dependent infants, for an offence related to the armed conflict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.The death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penalty for such offences shall not be executed on such women.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Article 77 — Protection of children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1. Children shall be the object of special respect and shall be protected against any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form of indecent assault. The Parties to the conflict shall provide them with the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care and aid they require, whether because of their age or for any other reason.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2. The Parties to the conflict shall take all feasible measures in order that children</w:t>
      </w:r>
      <w:r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who have not attained the age of fifteen years do not take a direct part in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hostilities and, in particular, they shall refrain from recruiting them into their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armed forces. In recruiting among those persons who have attained the age of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fifteen years but who have not attained the age of eighteen years, the Parties to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conflict shall endeavour to give priority to those who are oldest.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3. If, in exceptional cases, despite the provisions of paragraph 2, children who have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not attained the age of fifteen years take a direct part in hostilities and fall into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power of an adverse Party, they shall continue to benefit from the special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protection accorded by this Article, whether or not they are prisoners of war.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4. If arrested, detained or interned for reasons related to the armed conflict,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children shall be held in quarters separate from the quarters of adults, except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where families are accommodated as family units as provided in Article 75,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paragraph 5.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5. The death penalty for an offence related to the armed conflict shall not be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executed on persons who had not attained the age of eighteen years at the time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offence was committed.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-It_367_585_11_" w:hAnsi="MinionMM-It_367_585_11_" w:cs="MinionMM-It_367_585_11_"/>
          <w:i/>
          <w:iCs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Article 78 — Evacuation of children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1. No Party to the conflict shall arrange for the evacuation of children, other than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its own nationals, to a foreign country except for a temporary evacuation where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compelling reasons of the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health or medical treatment of the children or, except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in occupied territory, their safety, so require. Where the parents or legal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guardians can be found, their written consent to such evacuation is required. If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these persons cannot be found, the written consent to such evacuation of the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persons who by law or custom are primarily responsible for the care of the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 xml:space="preserve">children is </w:t>
      </w:r>
      <w:r w:rsidR="00160399" w:rsidRPr="00770322">
        <w:rPr>
          <w:rFonts w:ascii="MinionMM_367_585_11_" w:hAnsi="MinionMM_367_585_11_" w:cs="MinionMM_367_585_11_"/>
          <w:sz w:val="21"/>
          <w:szCs w:val="21"/>
        </w:rPr>
        <w:t>required. Any</w:t>
      </w:r>
      <w:r w:rsidRPr="00770322">
        <w:rPr>
          <w:rFonts w:ascii="MinionMM_367_585_11_" w:hAnsi="MinionMM_367_585_11_" w:cs="MinionMM_367_585_11_"/>
          <w:sz w:val="21"/>
          <w:szCs w:val="21"/>
        </w:rPr>
        <w:t xml:space="preserve"> such evacuation shall be supervised by the </w:t>
      </w:r>
      <w:r w:rsidRPr="00770322">
        <w:rPr>
          <w:rFonts w:ascii="MinionMM_367_585_11_" w:hAnsi="MinionMM_367_585_11_" w:cs="MinionMM_367_585_11_"/>
          <w:sz w:val="21"/>
          <w:szCs w:val="21"/>
        </w:rPr>
        <w:lastRenderedPageBreak/>
        <w:t>Protecting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Power in agreement with the Parties concerned, namely, the Party arranging for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evacuation, the Party receiving the children and any Parties whose nationals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are being evacuated. In each case, all Parties to the conflict shall take all feasible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precautions to avoid endangering the evacuation.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2. Whenever an evacuation occurs pursuant to paragraph 1, each child’s education,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including his religious and moral education as his parents desire, shall be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provided while he is away with the greatest possible continuity.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_367_585_11_" w:hAnsi="MinionMM_367_585_11_" w:cs="MinionMM_367_585_11_"/>
          <w:sz w:val="21"/>
          <w:szCs w:val="21"/>
        </w:rPr>
        <w:t>3. With a view to facilitating the return to their families and country of children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evacuated pursuant to this Article, the authorities of the Party arranging for the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evacuation and, as appropriate, the authorities of the receiving country shall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establish for each child a card with photographs, which they shall send to the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Central Tracing Agency of the International Committee of the Red Cross. Each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card shall bear, whenever possible, and whenever it involves no risk of harm to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child, the following information: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a) </w:t>
      </w:r>
      <w:r w:rsidRPr="00770322">
        <w:rPr>
          <w:rFonts w:ascii="MinionMM_367_585_11_" w:hAnsi="MinionMM_367_585_11_" w:cs="MinionMM_367_585_11_"/>
          <w:sz w:val="21"/>
          <w:szCs w:val="21"/>
        </w:rPr>
        <w:t>surname(s) of the child;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b)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first name(s);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c)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sex;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d) </w:t>
      </w:r>
      <w:r w:rsidRPr="00770322">
        <w:rPr>
          <w:rFonts w:ascii="MinionMM_367_585_11_" w:hAnsi="MinionMM_367_585_11_" w:cs="MinionMM_367_585_11_"/>
          <w:sz w:val="21"/>
          <w:szCs w:val="21"/>
        </w:rPr>
        <w:t>the place and date of birth (or, if that date is not known, the approximate age);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e) </w:t>
      </w:r>
      <w:r w:rsidRPr="00770322">
        <w:rPr>
          <w:rFonts w:ascii="MinionMM_367_585_11_" w:hAnsi="MinionMM_367_585_11_" w:cs="MinionMM_367_585_11_"/>
          <w:sz w:val="21"/>
          <w:szCs w:val="21"/>
        </w:rPr>
        <w:t>the father’s full name;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f) </w:t>
      </w:r>
      <w:r w:rsidRPr="00770322">
        <w:rPr>
          <w:rFonts w:ascii="MinionMM_367_585_11_" w:hAnsi="MinionMM_367_585_11_" w:cs="MinionMM_367_585_11_"/>
          <w:sz w:val="21"/>
          <w:szCs w:val="21"/>
        </w:rPr>
        <w:t>the mother’s full name and her maiden name;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g)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next of kin;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h)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nationality;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proofErr w:type="spellStart"/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>i</w:t>
      </w:r>
      <w:proofErr w:type="spellEnd"/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native language, and any other languages he speaks;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j) </w:t>
      </w:r>
      <w:r w:rsidRPr="00770322">
        <w:rPr>
          <w:rFonts w:ascii="MinionMM_367_585_11_" w:hAnsi="MinionMM_367_585_11_" w:cs="MinionMM_367_585_11_"/>
          <w:sz w:val="21"/>
          <w:szCs w:val="21"/>
        </w:rPr>
        <w:t>the address of the child’s family;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k) </w:t>
      </w:r>
      <w:r w:rsidRPr="00770322">
        <w:rPr>
          <w:rFonts w:ascii="MinionMM_367_585_11_" w:hAnsi="MinionMM_367_585_11_" w:cs="MinionMM_367_585_11_"/>
          <w:sz w:val="21"/>
          <w:szCs w:val="21"/>
        </w:rPr>
        <w:t>any identification number for the child;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l)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state of health;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m)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blood group;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n) </w:t>
      </w:r>
      <w:r w:rsidRPr="00770322">
        <w:rPr>
          <w:rFonts w:ascii="MinionMM_367_585_11_" w:hAnsi="MinionMM_367_585_11_" w:cs="MinionMM_367_585_11_"/>
          <w:sz w:val="21"/>
          <w:szCs w:val="21"/>
        </w:rPr>
        <w:t>any distinguishing features;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o) </w:t>
      </w:r>
      <w:r w:rsidRPr="00770322">
        <w:rPr>
          <w:rFonts w:ascii="MinionMM_367_585_11_" w:hAnsi="MinionMM_367_585_11_" w:cs="MinionMM_367_585_11_"/>
          <w:sz w:val="21"/>
          <w:szCs w:val="21"/>
        </w:rPr>
        <w:t>the date on which and the place where the child was found;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p) </w:t>
      </w:r>
      <w:r w:rsidRPr="00770322">
        <w:rPr>
          <w:rFonts w:ascii="MinionMM_367_585_11_" w:hAnsi="MinionMM_367_585_11_" w:cs="MinionMM_367_585_11_"/>
          <w:sz w:val="21"/>
          <w:szCs w:val="21"/>
        </w:rPr>
        <w:t>the date on which and the place from which the child left the country;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q)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religion, if any;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t xml:space="preserve">r) </w:t>
      </w:r>
      <w:r w:rsidRPr="00770322">
        <w:rPr>
          <w:rFonts w:ascii="MinionMM_367_585_11_" w:hAnsi="MinionMM_367_585_11_" w:cs="MinionMM_367_585_11_"/>
          <w:sz w:val="21"/>
          <w:szCs w:val="21"/>
        </w:rPr>
        <w:t>the child’s present address in the receiving country;</w:t>
      </w:r>
    </w:p>
    <w:p w:rsidR="00770322" w:rsidRPr="00770322" w:rsidRDefault="00770322" w:rsidP="00160399">
      <w:pPr>
        <w:tabs>
          <w:tab w:val="clear" w:pos="142"/>
        </w:tabs>
        <w:autoSpaceDE w:val="0"/>
        <w:autoSpaceDN w:val="0"/>
        <w:adjustRightInd w:val="0"/>
        <w:spacing w:after="0" w:line="480" w:lineRule="auto"/>
        <w:ind w:firstLine="0"/>
        <w:rPr>
          <w:rFonts w:ascii="MinionMM_367_585_11_" w:hAnsi="MinionMM_367_585_11_" w:cs="MinionMM_367_585_11_"/>
          <w:sz w:val="21"/>
          <w:szCs w:val="21"/>
        </w:rPr>
      </w:pPr>
      <w:r w:rsidRPr="00770322">
        <w:rPr>
          <w:rFonts w:ascii="MinionMM-It_367_585_11_" w:hAnsi="MinionMM-It_367_585_11_" w:cs="MinionMM-It_367_585_11_"/>
          <w:i/>
          <w:iCs/>
          <w:sz w:val="21"/>
          <w:szCs w:val="21"/>
        </w:rPr>
        <w:lastRenderedPageBreak/>
        <w:t xml:space="preserve">s) </w:t>
      </w:r>
      <w:r w:rsidRPr="00770322">
        <w:rPr>
          <w:rFonts w:ascii="MinionMM_367_585_11_" w:hAnsi="MinionMM_367_585_11_" w:cs="MinionMM_367_585_11_"/>
          <w:sz w:val="21"/>
          <w:szCs w:val="21"/>
        </w:rPr>
        <w:t>should the child die before his return, the date, place and circumstances of</w:t>
      </w:r>
      <w:r w:rsidR="00160399">
        <w:rPr>
          <w:rFonts w:ascii="MinionMM_367_585_11_" w:hAnsi="MinionMM_367_585_11_" w:cs="MinionMM_367_585_11_"/>
          <w:sz w:val="21"/>
          <w:szCs w:val="21"/>
        </w:rPr>
        <w:t xml:space="preserve"> </w:t>
      </w:r>
      <w:r w:rsidRPr="00770322">
        <w:rPr>
          <w:rFonts w:ascii="MinionMM_367_585_11_" w:hAnsi="MinionMM_367_585_11_" w:cs="MinionMM_367_585_11_"/>
          <w:sz w:val="21"/>
          <w:szCs w:val="21"/>
        </w:rPr>
        <w:t>death and place of interment.</w:t>
      </w:r>
    </w:p>
    <w:sectPr w:rsidR="00770322" w:rsidRPr="00770322" w:rsidSect="0082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MM_367_585_11_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MM-It_367_585_11_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70322"/>
    <w:rsid w:val="000E1ABC"/>
    <w:rsid w:val="001531DC"/>
    <w:rsid w:val="00160399"/>
    <w:rsid w:val="005C2872"/>
    <w:rsid w:val="00770322"/>
    <w:rsid w:val="0082058D"/>
    <w:rsid w:val="008843E3"/>
    <w:rsid w:val="008E54AC"/>
    <w:rsid w:val="009D1B45"/>
    <w:rsid w:val="00AE3EE8"/>
    <w:rsid w:val="00B56BF7"/>
    <w:rsid w:val="00B862D4"/>
    <w:rsid w:val="00C06BEB"/>
    <w:rsid w:val="00C209BD"/>
    <w:rsid w:val="00E8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EB"/>
    <w:pPr>
      <w:tabs>
        <w:tab w:val="left" w:pos="142"/>
      </w:tabs>
      <w:spacing w:after="240" w:line="312" w:lineRule="auto"/>
      <w:ind w:firstLine="17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56BF7"/>
    <w:pPr>
      <w:keepNext/>
      <w:keepLines/>
      <w:shd w:val="clear" w:color="auto" w:fill="9BBB59" w:themeFill="accent3"/>
      <w:spacing w:before="480" w:line="288" w:lineRule="auto"/>
      <w:ind w:firstLine="720"/>
      <w:outlineLvl w:val="0"/>
    </w:pPr>
    <w:rPr>
      <w:rFonts w:asciiTheme="majorHAnsi" w:eastAsiaTheme="majorEastAsia" w:hAnsiTheme="majorHAnsi" w:cstheme="majorBidi"/>
      <w:b/>
      <w:bCs/>
      <w:smallCaps/>
      <w:color w:val="FFFFFF" w:themeColor="background1"/>
      <w:spacing w:val="2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1531DC"/>
    <w:pPr>
      <w:numPr>
        <w:ilvl w:val="1"/>
      </w:numPr>
      <w:spacing w:after="960"/>
      <w:ind w:firstLine="170"/>
      <w:jc w:val="center"/>
    </w:pPr>
    <w:rPr>
      <w:rFonts w:ascii="Microsoft Sans Serif" w:eastAsiaTheme="majorEastAsia" w:hAnsi="Microsoft Sans Serif" w:cstheme="majorBidi"/>
      <w:b/>
      <w:iCs/>
      <w:caps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31DC"/>
    <w:rPr>
      <w:rFonts w:ascii="Microsoft Sans Serif" w:eastAsiaTheme="majorEastAsia" w:hAnsi="Microsoft Sans Serif" w:cstheme="majorBidi"/>
      <w:b/>
      <w:iCs/>
      <w:caps/>
      <w:spacing w:val="15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06BEB"/>
    <w:pPr>
      <w:pBdr>
        <w:top w:val="single" w:sz="12" w:space="2" w:color="9BBB59" w:themeColor="accent3"/>
      </w:pBdr>
      <w:spacing w:after="840" w:line="240" w:lineRule="auto"/>
      <w:jc w:val="right"/>
    </w:pPr>
    <w:rPr>
      <w:rFonts w:ascii="Segoe UI" w:eastAsiaTheme="majorEastAsia" w:hAnsi="Segoe UI" w:cs="Segoe UI"/>
      <w:smallCaps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31DC"/>
    <w:rPr>
      <w:rFonts w:ascii="Segoe UI" w:eastAsiaTheme="majorEastAsia" w:hAnsi="Segoe UI" w:cs="Segoe UI"/>
      <w:smallCaps/>
      <w:spacing w:val="5"/>
      <w:kern w:val="28"/>
      <w:sz w:val="40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15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31DC"/>
  </w:style>
  <w:style w:type="paragraph" w:styleId="Pieddepage">
    <w:name w:val="footer"/>
    <w:basedOn w:val="Normal"/>
    <w:link w:val="PieddepageCar"/>
    <w:uiPriority w:val="99"/>
    <w:semiHidden/>
    <w:unhideWhenUsed/>
    <w:rsid w:val="0015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31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5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53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lledutableau">
    <w:name w:val="Table Grid"/>
    <w:basedOn w:val="TableauNormal"/>
    <w:uiPriority w:val="59"/>
    <w:rsid w:val="0015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56BF7"/>
    <w:rPr>
      <w:rFonts w:asciiTheme="majorHAnsi" w:eastAsiaTheme="majorEastAsia" w:hAnsiTheme="majorHAnsi" w:cstheme="majorBidi"/>
      <w:b/>
      <w:bCs/>
      <w:smallCaps/>
      <w:color w:val="FFFFFF" w:themeColor="background1"/>
      <w:spacing w:val="20"/>
      <w:sz w:val="28"/>
      <w:szCs w:val="28"/>
      <w:shd w:val="clear" w:color="auto" w:fill="9BBB59" w:themeFill="accent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Moreno</dc:creator>
  <cp:lastModifiedBy>Manon Moreno</cp:lastModifiedBy>
  <cp:revision>1</cp:revision>
  <dcterms:created xsi:type="dcterms:W3CDTF">2014-02-05T16:03:00Z</dcterms:created>
  <dcterms:modified xsi:type="dcterms:W3CDTF">2014-02-05T16:23:00Z</dcterms:modified>
</cp:coreProperties>
</file>